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项目名称：会议平板（第二次）</w:t>
      </w:r>
      <w:bookmarkStart w:id="7" w:name="_GoBack"/>
      <w:bookmarkEnd w:id="7"/>
    </w:p>
    <w:p w14:paraId="3AAB413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项目编号：BSRMYY-YNCG-2026-10008</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410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958"/>
        <w:gridCol w:w="1462"/>
        <w:gridCol w:w="1459"/>
        <w:gridCol w:w="2211"/>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828"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903"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数量</w:t>
            </w:r>
          </w:p>
        </w:tc>
        <w:tc>
          <w:tcPr>
            <w:tcW w:w="901"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366"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限价（元）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2" w:hRule="atLeast"/>
          <w:jc w:val="center"/>
        </w:trPr>
        <w:tc>
          <w:tcPr>
            <w:tcW w:w="1828"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bidi="ar-SA"/>
              </w:rPr>
              <w:t>会议平板</w:t>
            </w:r>
          </w:p>
        </w:tc>
        <w:tc>
          <w:tcPr>
            <w:tcW w:w="903"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w:t>
            </w:r>
          </w:p>
        </w:tc>
        <w:tc>
          <w:tcPr>
            <w:tcW w:w="901"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个</w:t>
            </w:r>
          </w:p>
        </w:tc>
        <w:tc>
          <w:tcPr>
            <w:tcW w:w="1366"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17000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备注：本项目仅针对国产产品，不予接受进口产品响应。</w:t>
      </w:r>
    </w:p>
    <w:p w14:paraId="3AC97B9E">
      <w:pPr>
        <w:pStyle w:val="26"/>
        <w:numPr>
          <w:ilvl w:val="0"/>
          <w:numId w:val="3"/>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技术要求（须完全响应）</w:t>
      </w:r>
    </w:p>
    <w:tbl>
      <w:tblPr>
        <w:tblStyle w:val="15"/>
        <w:tblW w:w="10028" w:type="dxa"/>
        <w:tblInd w:w="-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8100"/>
      </w:tblGrid>
      <w:tr w14:paraId="797F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928" w:type="dxa"/>
            <w:vAlign w:val="center"/>
          </w:tcPr>
          <w:p w14:paraId="40DC1A76">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项目名称</w:t>
            </w:r>
          </w:p>
        </w:tc>
        <w:tc>
          <w:tcPr>
            <w:tcW w:w="8100" w:type="dxa"/>
            <w:vAlign w:val="center"/>
          </w:tcPr>
          <w:p w14:paraId="0E66F658">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参数要求</w:t>
            </w:r>
          </w:p>
        </w:tc>
      </w:tr>
      <w:tr w14:paraId="53CB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9" w:hRule="atLeast"/>
        </w:trPr>
        <w:tc>
          <w:tcPr>
            <w:tcW w:w="1928" w:type="dxa"/>
            <w:vAlign w:val="center"/>
          </w:tcPr>
          <w:p w14:paraId="4706F581">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会议平板</w:t>
            </w:r>
          </w:p>
        </w:tc>
        <w:tc>
          <w:tcPr>
            <w:tcW w:w="8100" w:type="dxa"/>
            <w:vAlign w:val="center"/>
          </w:tcPr>
          <w:p w14:paraId="0814CA7D">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1.屏幕尺寸≥75寸，物理分辨率≥3840*2160，屏幕刷新率≥60Hz，可视角度≥178°，色域（NTSC标准）≥72%，触控响应时间≤10ms，触控点数≥40；</w:t>
            </w:r>
          </w:p>
          <w:p w14:paraId="14ECA93A">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2.操作系统：Android14.0及以上，处理器采用ARM架构，大小核设计，大核核心频率≥2.0GHz，存储（RAM+ROM）不低于4G+128G，支持WIFI6，蓝牙版本不低于5.2，麦克风数量≥8阵列，具备智能降噪，回声消除功能，拾音距离≥12；支持传屏器/Airpaly/P2P 多种无线投屏方式；</w:t>
            </w:r>
          </w:p>
          <w:p w14:paraId="3F3389D4">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3.OPS电脑：采用X86架构，处理器主频≥2.4GHz，内存≥16GB，SSD≥256GB，核显支持AV1视频解码，</w:t>
            </w:r>
          </w:p>
          <w:p w14:paraId="704F3949">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4.采用推车安装，包含推车支架；</w:t>
            </w: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本项目最高限价17000元，</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包括但不限于货款、运输装卸、安装、质保期维护保养费（含易损件更换）、资料装订及邮寄费、税费、保险费、验收检测费、信息系统对接接口费、培训费等完成本项目所需的一切费用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本项目要求供应商合同签订后5个工作日送货至采购方指定地点，15个工作日内安装完毕。</w:t>
      </w:r>
    </w:p>
    <w:p w14:paraId="5BA598E3">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2724BBF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无。</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项目最终验收合格后支付合同金额的95%。付款前，供应商须提供合法等额税务发票、验收记录等佐证资料，未提供相关资料采购方有权拒付。质保期满后且质保服务达标，支付剩余5%。如发现供应商提供虚假发票将把供应商列入院内不良记录供应商库，同时采购人有权拒绝支付发票内容的款项，并向有关部门进行举报。</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到货后确认产品规格、配置等参数符合招标文件要求作为初步验收，初步验收无异常进行安装调试，安装调试并试运行1个月无异常才作为最终验收。验收及使用中发现产品质量争议按照验收争议进行处理；验收争议时由采购人邀请第三方机构检测，费用由供应商承担。</w:t>
      </w:r>
    </w:p>
    <w:p w14:paraId="685941D4">
      <w:pPr>
        <w:keepNext w:val="0"/>
        <w:keepLines w:val="0"/>
        <w:pageBreakBefore w:val="0"/>
        <w:widowControl w:val="0"/>
        <w:numPr>
          <w:ilvl w:val="0"/>
          <w:numId w:val="5"/>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质保期及质保要求</w:t>
      </w:r>
    </w:p>
    <w:p w14:paraId="64BDC3C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质量保证</w:t>
      </w:r>
    </w:p>
    <w:p w14:paraId="1D3FCFC9">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成交供应商提供的货物必须是全新的且所有部件的生产日期为近一年内，完全符合国家相关技术标准，同时要求供应商提供的软件需支持国家信创工作需求。</w:t>
      </w:r>
    </w:p>
    <w:p w14:paraId="11B3F89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质量保证期</w:t>
      </w:r>
    </w:p>
    <w:p w14:paraId="19AB4DF9">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自最终验收合格之日起，质量保证期不低于三年。质保期内维修，供应商需免费提供设备所有原厂配件。设备突发故障维修的时长不纳入正常质保期限，质保期限根据维修时长相应顺延。保证设备质保期内开机率达95%（按365日/年计算），且满足采购方招标以及供应商响应的设备使用功能，否则保修期双倍顺延。质保期内同一质量问题或故障经供应商两次维修后再次出现的，采购方有权要求供应商免费更换全新设备或退货处理。</w:t>
      </w:r>
    </w:p>
    <w:p w14:paraId="423396B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2.软件要求：供应商设备所提供的软件需正版化或取得相应的授权资料，终身免费升级，升级前应通知并得到采购方明确同意。</w:t>
      </w:r>
    </w:p>
    <w:p w14:paraId="4CDA234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3.系统对接：供应商需提供与采购方医院信息系统连接接口，在采购方现有相关信息系统及相关硬件接口开放的基础上，供应商提供的软、硬件须无条件实现与采购方现有相关信息系统和硬件对接，并承担第三方软件厂商开放接口所收取的费用。</w:t>
      </w:r>
    </w:p>
    <w:p w14:paraId="298C74B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售后服务</w:t>
      </w:r>
    </w:p>
    <w:p w14:paraId="048C367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1.供应商或制造商在质量保证期内应当为采购方提供以下技术支持和服务：</w:t>
      </w:r>
    </w:p>
    <w:p w14:paraId="2F4FCD9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电话咨询：供应商或制造商应当为采购方提供技术援助电话，解答采购方在使用中遇到的问题，及时为采购方提出解决问题的建议。</w:t>
      </w:r>
    </w:p>
    <w:p w14:paraId="6BFEAE1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现场响应：采购方遇到使用及技术问题，电话咨询不能解决的，供应商或制造商应在12小时内到达现场进行处理，确保产品正常工作；无法在12小时内解决的，应在24小时内提供备用产品，使采购方能够正常使用。</w:t>
      </w:r>
    </w:p>
    <w:p w14:paraId="1EB23A6E">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技术升级：在质保期内，如果产品技术升级，供应商应及时通知采购方，如采购方有相应要求，供应商或制造商应对采购方购买的产品进行免费升级服务。</w:t>
      </w:r>
    </w:p>
    <w:p w14:paraId="4EEB2B6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2.质保期外服务要求</w:t>
      </w:r>
    </w:p>
    <w:p w14:paraId="1ABF8B2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（1）质量保证期过后，供应商或制造商应同样提供免费电话咨询及免费技术或软件升级服务，现场响应并应承诺提供优惠价格的产品上门维护服务。</w:t>
      </w:r>
    </w:p>
    <w:p w14:paraId="001C2BD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（2）质量保证期过后，采购方需要继续由原供应商或制造商提供售后服务的，原厂维保价格不得高于合同金额的5%。</w:t>
      </w:r>
    </w:p>
    <w:p w14:paraId="11B752B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备品备件及易损件</w:t>
      </w:r>
    </w:p>
    <w:p w14:paraId="6AFDF78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供应商或制造商售后服务中，维修使用的备品备件及易损件应为原厂全新配件，未经采购方同意不得使用非原厂配件，所有设备常用的、容易损坏的备品备件及易损件的价格清单须在投标文件中列出，供应商书面承诺备品备件及易损件保供至少10年，同时承诺备品备件及易损件采购时不得高于全市平均价，零配件价格下调时及时通知采购方。</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6EEBF8A">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D05A04F">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7A9AADE">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在约定期限完成交付验收，延迟交付每日支付100的违约金，超过15日未能交付，采购人有权解除合同；验收不合格或使用中发现产品质量缺陷，采购人有权要求供应商整改，整改期限为10日，整改期限届满仍未完成的供应商每日支付千分之三的违约金，超过20日未能完成整改，采购人有权解除合同；所投和交付产品须为正规合格产品，后期发现或鉴定为假冒伪劣产品供应商应承担拆除恢复原状等所有费用。</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出现下列情况之一的，采购人有权拒绝支付应付货款,并有权单方面解除合同，供应商应承担不低于合同结算总金额30%的违约金，有特殊约定的按照特殊约定执行: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并要求供应商返还已支付款项并承担合同金额1倍的违约金;⑨使用中发现供应商提供的产品有质量或安全问题供应商未立即整改，采购人有权解除合同并要求供应商承担项目金额2倍违约金;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⑩</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w:t>
      </w:r>
    </w:p>
    <w:p w14:paraId="192BE29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因供应商违约导致采购人损失的，应赔偿对医院造成的直接和间接全部损失。供应商违反其书面承诺，应承担合同总金额10%的违约金。</w:t>
      </w:r>
      <w:r>
        <w:rPr>
          <w:rFonts w:hint="eastAsia" w:ascii="方正仿宋_GBK" w:hAnsi="方正仿宋_GBK" w:eastAsia="方正仿宋_GBK" w:cs="方正仿宋_GBK"/>
          <w:color w:val="auto"/>
          <w:sz w:val="32"/>
          <w:szCs w:val="32"/>
          <w:highlight w:val="none"/>
          <w:lang w:val="en-US" w:eastAsia="zh-CN"/>
        </w:rPr>
        <w:t>合同履行期间发生争议，协商无果由重庆市璧山区人民法院裁决。</w:t>
      </w:r>
    </w:p>
    <w:p w14:paraId="1C46D77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（十一）其他要求</w:t>
      </w:r>
    </w:p>
    <w:p w14:paraId="30FA693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安全责任</w:t>
      </w:r>
    </w:p>
    <w:p w14:paraId="2A8ABFC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供应商负责供货服务过程中的所有安全，提供的商品所造成的所有人身伤害或财产损失等安全责任问题，全部由供应商负责并自行承担法律责任。</w:t>
      </w:r>
    </w:p>
    <w:p w14:paraId="33885B2E">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信息安全责任条款</w:t>
      </w:r>
    </w:p>
    <w:p w14:paraId="510EC290">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责任范围</w:t>
      </w:r>
    </w:p>
    <w:p w14:paraId="26B37E1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供应商保证其提供的产品（含软硬件、驱动程序）及服务不存在已知或应知的恶意代码、未授权后门、隐蔽通道等安全缺陷，且所有操作符合《网络安全法》《数据安全法》及国家强制性标准（如GB/T 22239-2019）。</w:t>
      </w:r>
    </w:p>
    <w:p w14:paraId="14E2A5E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违约情形</w:t>
      </w:r>
    </w:p>
    <w:p w14:paraId="7DC0E2FD">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因供应商产品/服务存在以下情形导致采购方发生安全事件（系统中断、数据泄露、恶意攻击扩散等），视为根本违约：</w:t>
      </w:r>
    </w:p>
    <w:p w14:paraId="14618E5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1.故意植入恶意功能；</w:t>
      </w:r>
    </w:p>
    <w:p w14:paraId="74EC6FAF">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2.隐瞒已知安全漏洞且未告知；</w:t>
      </w:r>
    </w:p>
    <w:p w14:paraId="423DFEC4">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3.运维操作违反国家强制性安全规范。</w:t>
      </w:r>
    </w:p>
    <w:p w14:paraId="231CE1A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赔偿责任</w:t>
      </w:r>
    </w:p>
    <w:p w14:paraId="31C1F0C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发生上述违约时，供应商须承担：</w:t>
      </w:r>
    </w:p>
    <w:p w14:paraId="2E8F6AE9">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1.基础违约金：合同总额的10%(用于覆盖应急响应、取证评估等基础费用)；</w:t>
      </w:r>
    </w:p>
    <w:p w14:paraId="44A944B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2.直接损失赔偿：采购方实际遭受的经济损失；</w:t>
      </w:r>
    </w:p>
    <w:p w14:paraId="3A52C064">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3.惩罚性赔偿：若存在主观恶意，追加合同总额20%的赔偿。</w:t>
      </w:r>
    </w:p>
    <w:p w14:paraId="0AE02684">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免责与减责</w:t>
      </w:r>
    </w:p>
    <w:p w14:paraId="62DE86D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1.因采购方未按安全指南使用设备（如未安装补丁、禁用安全功能）导致损失，供应商责任相应减免；</w:t>
      </w:r>
    </w:p>
    <w:p w14:paraId="0398D020">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2.开源组件或供应链上游漏洞导致的客观风险，供应商及时通报并协助处置的，可免除惩罚性赔偿。</w:t>
      </w:r>
    </w:p>
    <w:p w14:paraId="5830E8C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证据规则</w:t>
      </w:r>
    </w:p>
    <w:p w14:paraId="32CCD8E5">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安全事件归责需由重庆市网安部门（市公安局网安总队/市委网信办）通报或国家级网络安全机构（如CNVD、CNNVD）或双方认可的第三方实验室出具鉴定报告。供应商应在收到报告后5个工作日内书面回应，逾期视为认可结论。</w:t>
      </w:r>
    </w:p>
    <w:p w14:paraId="4AAC2F41">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知识产权</w:t>
      </w:r>
    </w:p>
    <w:p w14:paraId="5109C76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采购方在中华人民共和国境内使用成交供应商提供的货物及服务时免受第三方提出的侵犯其专利权或其它知识产权的起诉。如果第三方提出侵权指控，成交供应商应承担由此而引起的一切法律责任和费用。</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（十二）</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产品出现不良事件；供应商超期未能完成供货；供应商廉洁违纪行为；供应商主动放弃等。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75017344"/>
      <w:bookmarkStart w:id="1" w:name="_Toc128014297"/>
      <w:bookmarkStart w:id="2" w:name="_Toc237057793"/>
      <w:bookmarkStart w:id="3" w:name="_Toc173677399"/>
      <w:bookmarkStart w:id="4" w:name="_Toc128229304"/>
      <w:bookmarkStart w:id="5" w:name="_Toc128229747"/>
      <w:bookmarkStart w:id="6" w:name="_Toc156196472"/>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6"/>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愿意按照询价采购文件中的一切要求，提供本项目的产品，报总价为：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10994537">
      <w:pPr>
        <w:pStyle w:val="10"/>
        <w:keepNext w:val="0"/>
        <w:keepLines w:val="0"/>
        <w:pageBreakBefore w:val="0"/>
        <w:widowControl w:val="0"/>
        <w:numPr>
          <w:ilvl w:val="0"/>
          <w:numId w:val="6"/>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7"/>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质保期及质保要求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22E6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B92FD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其他要求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DD6C5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7B24B4E">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257C4EA">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9875142D"/>
    <w:multiLevelType w:val="singleLevel"/>
    <w:tmpl w:val="9875142D"/>
    <w:lvl w:ilvl="0" w:tentative="0">
      <w:start w:val="7"/>
      <w:numFmt w:val="chineseCounting"/>
      <w:suff w:val="nothing"/>
      <w:lvlText w:val="（%1）"/>
      <w:lvlJc w:val="left"/>
      <w:rPr>
        <w:rFonts w:hint="eastAsia"/>
      </w:rPr>
    </w:lvl>
  </w:abstractNum>
  <w:abstractNum w:abstractNumId="2">
    <w:nsid w:val="ABADC3BC"/>
    <w:multiLevelType w:val="singleLevel"/>
    <w:tmpl w:val="ABADC3BC"/>
    <w:lvl w:ilvl="0" w:tentative="0">
      <w:start w:val="4"/>
      <w:numFmt w:val="chineseCounting"/>
      <w:suff w:val="nothing"/>
      <w:lvlText w:val="（%1）"/>
      <w:lvlJc w:val="left"/>
      <w:rPr>
        <w:rFonts w:hint="eastAsia"/>
      </w:rPr>
    </w:lvl>
  </w:abstractNum>
  <w:abstractNum w:abstractNumId="3">
    <w:nsid w:val="B25E35BA"/>
    <w:multiLevelType w:val="singleLevel"/>
    <w:tmpl w:val="B25E35BA"/>
    <w:lvl w:ilvl="0" w:tentative="0">
      <w:start w:val="2"/>
      <w:numFmt w:val="decimal"/>
      <w:lvlText w:val="%1."/>
      <w:lvlJc w:val="left"/>
      <w:pPr>
        <w:tabs>
          <w:tab w:val="left" w:pos="312"/>
        </w:tabs>
      </w:pPr>
    </w:lvl>
  </w:abstractNum>
  <w:abstractNum w:abstractNumId="4">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3A86531C"/>
    <w:multiLevelType w:val="singleLevel"/>
    <w:tmpl w:val="3A86531C"/>
    <w:lvl w:ilvl="0" w:tentative="0">
      <w:start w:val="2"/>
      <w:numFmt w:val="chineseCounting"/>
      <w:suff w:val="nothing"/>
      <w:lvlText w:val="%1、"/>
      <w:lvlJc w:val="left"/>
      <w:rPr>
        <w:rFonts w:hint="eastAsia"/>
      </w:rPr>
    </w:lvl>
  </w:abstractNum>
  <w:abstractNum w:abstractNumId="6">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4"/>
  </w:num>
  <w:num w:numId="2">
    <w:abstractNumId w:val="6"/>
  </w:num>
  <w:num w:numId="3">
    <w:abstractNumId w:val="5"/>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845087"/>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514983"/>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47C0C4C"/>
    <w:rsid w:val="2657371E"/>
    <w:rsid w:val="275A4A72"/>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2A07841"/>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5F5E25"/>
    <w:rsid w:val="376E6279"/>
    <w:rsid w:val="38A14340"/>
    <w:rsid w:val="38FB0137"/>
    <w:rsid w:val="39215DFD"/>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0C2158"/>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2123F"/>
    <w:rsid w:val="5ADB7D78"/>
    <w:rsid w:val="5B0F5D9A"/>
    <w:rsid w:val="5BB04DF0"/>
    <w:rsid w:val="5C6A3582"/>
    <w:rsid w:val="5C700ABB"/>
    <w:rsid w:val="5CAE778C"/>
    <w:rsid w:val="5D0C00B7"/>
    <w:rsid w:val="5D123920"/>
    <w:rsid w:val="5D5A1F17"/>
    <w:rsid w:val="5D5B2280"/>
    <w:rsid w:val="5D6C0A93"/>
    <w:rsid w:val="5D915A0E"/>
    <w:rsid w:val="5DBD061A"/>
    <w:rsid w:val="5E3C678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6A28A5"/>
    <w:rsid w:val="777A05E8"/>
    <w:rsid w:val="779416A9"/>
    <w:rsid w:val="77DC750A"/>
    <w:rsid w:val="77FA34D6"/>
    <w:rsid w:val="78024143"/>
    <w:rsid w:val="789842C8"/>
    <w:rsid w:val="78F42BEF"/>
    <w:rsid w:val="78F54CD1"/>
    <w:rsid w:val="799B64FC"/>
    <w:rsid w:val="7A3C22D7"/>
    <w:rsid w:val="7ACF7754"/>
    <w:rsid w:val="7AF0174A"/>
    <w:rsid w:val="7B203254"/>
    <w:rsid w:val="7B2C7682"/>
    <w:rsid w:val="7B537186"/>
    <w:rsid w:val="7B5B245B"/>
    <w:rsid w:val="7B5C1973"/>
    <w:rsid w:val="7B6018A2"/>
    <w:rsid w:val="7BDE27F0"/>
    <w:rsid w:val="7C0B7A60"/>
    <w:rsid w:val="7C0C1203"/>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75</Words>
  <Characters>96</Characters>
  <Lines>0</Lines>
  <Paragraphs>0</Paragraphs>
  <TotalTime>2</TotalTime>
  <ScaleCrop>false</ScaleCrop>
  <LinksUpToDate>false</LinksUpToDate>
  <CharactersWithSpaces>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2026-11-06T09:23:14Z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